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C9" w:rsidRDefault="00D45DC9" w:rsidP="00102A4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Пенсионный фонд России подводит</w:t>
      </w:r>
    </w:p>
    <w:p w:rsidR="00D45DC9" w:rsidRDefault="009A15D4" w:rsidP="00102A4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предварительные итоги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45DC9" w:rsidRDefault="00D45DC9" w:rsidP="00102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городе Казани на площадке ОПФР по Республике Татарстан под председательством главы Пенсионного фонда Российской Федерации Антона Дроздова состоялось расширенное заседание Правления ПФР. В нем принимали участие президент Республики Татарстан Рустам </w:t>
      </w:r>
      <w:proofErr w:type="spellStart"/>
      <w:r>
        <w:rPr>
          <w:color w:val="000000"/>
        </w:rPr>
        <w:t>Минниханов</w:t>
      </w:r>
      <w:proofErr w:type="spellEnd"/>
      <w:r>
        <w:rPr>
          <w:color w:val="000000"/>
        </w:rPr>
        <w:t>, члены Правления ПФР, представители Федерального Собрания РФ и Федерации независимых профсоюзов России, управляющие отделениями ПФР из всех субъектов Российской Федерации, руководители структурных подразделений Исполнительной дирекции ПФР.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Ключевые темы заседания Правления ПФР – обсуждение предварительных итогов работы ПФР в 2013 году и определение приоритетных задач, стоящих перед Фондом в 2014 году, в том числе в связи с реализацией Стратегии долгосрочного развития пенсионной системы России. С основным докладом выступил Председатель Правления ПФР Антон Дроздов.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Выплата пенсий и пособий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Как было отмечено в ходе Правления, назначение и выплата пенсий, оказание государственной социальной помощи по линии ПФР в 2013 году проходило по всей территории Российской Федерации своевременно и без сбоев.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 итогам 2013 года расходы ПФР на пенсионное обеспечение превысили 5,1 </w:t>
      </w:r>
      <w:proofErr w:type="spellStart"/>
      <w:proofErr w:type="gramStart"/>
      <w:r>
        <w:rPr>
          <w:color w:val="000000"/>
        </w:rPr>
        <w:t>трлн</w:t>
      </w:r>
      <w:proofErr w:type="spellEnd"/>
      <w:proofErr w:type="gramEnd"/>
      <w:r>
        <w:rPr>
          <w:color w:val="000000"/>
        </w:rPr>
        <w:t xml:space="preserve"> рублей. Это почти на 600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 больше, чем в 2012 году.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Общая численность пенсионеров, получающих пенсии по линии ПФР, составляет 40,8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человек. Из них 33,8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– получатели трудовой пенсии по старости,</w:t>
      </w:r>
      <w:r>
        <w:rPr>
          <w:rFonts w:ascii="Tms Rmn" w:hAnsi="Tms Rmn" w:cs="Tms Rmn"/>
          <w:color w:val="000000"/>
        </w:rPr>
        <w:t xml:space="preserve"> 2</w:t>
      </w:r>
      <w:r>
        <w:rPr>
          <w:color w:val="000000"/>
        </w:rPr>
        <w:t>,</w:t>
      </w:r>
      <w:r>
        <w:rPr>
          <w:rFonts w:ascii="Tms Rmn" w:hAnsi="Tms Rmn" w:cs="Tms Rmn"/>
          <w:color w:val="000000"/>
        </w:rPr>
        <w:t>38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– получатели трудовой пенсии по </w:t>
      </w:r>
      <w:r>
        <w:rPr>
          <w:rFonts w:ascii="Tms Rmn" w:hAnsi="Tms Rmn" w:cs="Tms Rmn"/>
          <w:color w:val="000000"/>
        </w:rPr>
        <w:t>инвалидности,</w:t>
      </w:r>
      <w:r>
        <w:rPr>
          <w:color w:val="000000"/>
        </w:rPr>
        <w:t xml:space="preserve"> 1,3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чел – получатели трудовой пенсии</w:t>
      </w:r>
      <w:r>
        <w:rPr>
          <w:rFonts w:ascii="Tms Rmn" w:hAnsi="Tms Rmn" w:cs="Tms Rmn"/>
          <w:color w:val="000000"/>
        </w:rPr>
        <w:t xml:space="preserve"> по случаю потери кормильца</w:t>
      </w:r>
      <w:r>
        <w:rPr>
          <w:color w:val="000000"/>
        </w:rPr>
        <w:t xml:space="preserve">, почти 3,4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– получатели </w:t>
      </w:r>
      <w:r>
        <w:rPr>
          <w:rFonts w:ascii="Tms Rmn" w:hAnsi="Tms Rmn" w:cs="Tms Rmn"/>
          <w:color w:val="000000"/>
        </w:rPr>
        <w:t>пенсии по государственному пенсионному обеспечению</w:t>
      </w:r>
      <w:r>
        <w:rPr>
          <w:color w:val="000000"/>
        </w:rPr>
        <w:t xml:space="preserve">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Трудовые пенсии были с 1 февраля 2013 года проиндексированы на 6,6% и с 1 апреля – на 3,3%. Также с 1 апреля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1,81% </w:t>
      </w:r>
      <w:proofErr w:type="gramStart"/>
      <w:r>
        <w:rPr>
          <w:color w:val="000000"/>
        </w:rPr>
        <w:t>были</w:t>
      </w:r>
      <w:proofErr w:type="gramEnd"/>
      <w:r>
        <w:rPr>
          <w:color w:val="000000"/>
        </w:rPr>
        <w:t xml:space="preserve"> проиндексированы пенсии по государственному пенсионному обеспечению.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результате всех произведенных повышений средний размер трудовой пенсии по старости в 2013 году составил 10 741 рубль. Средний размер пенсионного обеспечения инвалидов вследствие военной травмы и участников Великой Отечественной войны – 24 280 рублей и 25 283 рубля соответственно. Средний размер социальной пенсии составил 6 459 рублей.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была увеличена социальная пенсия детям-инвалидам и инвалидам с детства I группы. С учетом проведенной 1 апреля индексации ее размер составляет         8 861,54 рубля.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 1 января 2013 года неработающим трудоспособным лицам, которые осуществляют уход за детьми-инвалидами и инвалидами с детства I группы, вместо компенсационной выплаты установлены ежемесячные выплаты. Для родителей, усыновителей, опекунов и попечителей эти выплаты увеличены с 1 200 до 5 500 рублей.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результате принятых мер улучшено материальное обеспечение более 760 тыс. российских семей с детьми-инвалидами и инвалидами с детства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группы.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численность лиц, которым установлена ежемесячная денежная выплата (ЕДВ), составила почти 16,3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человек. Размер ЕДВ индексируется один раз в год с 1 апреля. В 2013 году размер ЕДВ увеличился на 5,5%. Так, размер ЕДВ инвалидам Великой Отечественной войны с 1 апреля 2013 года составляет 4 045,56 рубля, </w:t>
      </w:r>
      <w:r>
        <w:rPr>
          <w:color w:val="000000"/>
        </w:rPr>
        <w:lastRenderedPageBreak/>
        <w:t>участникам Великой Отечественной войны – 3 034,16 рубля, лицам, награжденным знаком «Жителю блокадного Ленинграда», – 2 225,84 рубля.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бюджете ПФР на 2014 год предусмотрены средства на индексацию трудовых пенсий на 8,1%, социальных пенсий – на 17,6%. Точный размер индексации будет определен Правительством РФ с учетом итогов 2013 года, в т.ч. уровня инфляции в стране и размера доходов ПФР в расчет на одного пенсионера.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Выплата средств пенсионных накоплений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 момента вступления в действие «выплатного» закона (1 июля 2012 года) выплаты из средств пенсионных накоплений установлены более чем 2,95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пенсионеров.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Более 99% обратившихся в ПФР (2,94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пенсионеров) – граждане, по обращениям которых приняты решения о выплате пенсионных накоплений в виде единовременной выплаты. По срочной пенсионной выплате – более 1,3 тыс. решений, по выплатам в виде накопительной части трудовой пенсии по старости – 9,9 тыс. решений.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Средний размер установленной единовременной выплаты составляет 8,1 тыс. рублей, срочной выплаты – 737 рублей, накопительной части – 623 рубля.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Социальные доплаты к пенсии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территориальные органы ПФР установили и выплачивали федеральную социальную доплату (ФСД) к пенсии в тех субъектах Российской Федерации, где региональный прожиточный минимум пенсионера меньше федерального уровня. ФСД устанавливается до уровня прожиточного минимума пенсионера в регионе его проживания и выплачивается Пенсионным фондом России 2,6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неработающих пенсионеров в 66 субъектах Российской Федерации и г. Байконуре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Расходы ПФР на выплату федеральной социальной доплаты к пенсии неработающих пенсионеров за 10 месяцев 2013 года составили 32,5 млрд. рублей. Средний размер установленной федеральной социальной доплаты составляет 1177,12 рублей.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Материнский (семейный) капитал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размер материнского капитала составляет 408 960 рублей, что в 1,5 раза больше, чем в 2007 году (250 000 рублей). В 2014 году его размер составит 429 408,5 рублей.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 2007 года, когда началась реализация соответствующего федерального закона, государственный сертификат на материнский капитал получили свыше 4,7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количество российских семей. В т.ч. в течение 2013 года территориальные органы ПФР выдали более 640 тыс. сертификатов на материнский капитал.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Благодаря материнскому капиталу более 2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семей улучшили жилищные условия. Из них более 1,3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семей частично или полностью погасили средствами материнского капитала жилищные кредиты на сумму 462 </w:t>
      </w:r>
      <w:proofErr w:type="spellStart"/>
      <w:r>
        <w:rPr>
          <w:color w:val="000000"/>
        </w:rPr>
        <w:t>млрд</w:t>
      </w:r>
      <w:proofErr w:type="spellEnd"/>
      <w:r>
        <w:rPr>
          <w:color w:val="000000"/>
        </w:rPr>
        <w:t xml:space="preserve"> рублей. Еще 638 тыс. семей улучшили жилищные условия, направив средства на сумму 202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 на прямую покупку, строительство или реконструкцию жилья без привлечения кредитных средств.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92,1 тыс. семей направили средства материнского капитала на образование детей на сумму 3,8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рублей. 1 650 владелиц сертификата направили его средства на формирование накопительной части трудовой пенсии на сумму 308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На сегодняшний день более 41% семей использовали средства материнского капитала полностью.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В уходящем году были внесены важные изменения в федеральный закон о материнском капитале: ограничен круг организаций, займы которых могут погашаться за счет материнского капитала. Эти поправки позволяют повысить эффективность борьбы с мошенническими схемами, связанными с хищением и </w:t>
      </w:r>
      <w:proofErr w:type="spellStart"/>
      <w:r>
        <w:rPr>
          <w:color w:val="000000"/>
        </w:rPr>
        <w:t>обналичиванием</w:t>
      </w:r>
      <w:proofErr w:type="spellEnd"/>
      <w:r>
        <w:rPr>
          <w:color w:val="000000"/>
        </w:rPr>
        <w:t xml:space="preserve"> средств материнского капитала.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  <w:proofErr w:type="gramStart"/>
      <w:r>
        <w:rPr>
          <w:b/>
          <w:bCs/>
          <w:color w:val="000000"/>
        </w:rPr>
        <w:t>государственного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софинансирования</w:t>
      </w:r>
      <w:proofErr w:type="spellEnd"/>
      <w:r>
        <w:rPr>
          <w:b/>
          <w:bCs/>
          <w:color w:val="000000"/>
        </w:rPr>
        <w:t xml:space="preserve"> пенсий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За пять лет действия Программы государственного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пенсий ее участниками стали почти 16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россиян, в т.ч. в 2013 году – 5,5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человек. С начала 2013 года сумма взносов уже превысила 10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рублей. В целом за все время действия Программы участники перечислили более 26,5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 на свою будущую пенсию.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2013 году сумма среднего платежа участника составляет 12 576 рублей, что почти в 2,5 раза больше, чем в 2011 году (5 970 рублей).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Администрирование страховых взносов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ПФР как администратор страховых взносов на обязательное пенсионное и обязательное медицинское страхование выполняет прогнозные показатели по сбору страховых взносов.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 состоянию на 1 декабря 2013 года на обязательное пенсионное страхование уже поступили страховые взносы на сумму 3 015,8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рублей. Это на 14,2% выше, чем по состоянию на 1 декабря 2012 года, а также на 3,4% превышает плановые показатели на 11 месяцев 2013 года.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На обязательное медицинское страхование поступило на 1 декабря 2013 года поступило 609,3 </w:t>
      </w:r>
      <w:proofErr w:type="spellStart"/>
      <w:proofErr w:type="gramStart"/>
      <w:r>
        <w:rPr>
          <w:color w:val="000000"/>
        </w:rPr>
        <w:t>млрд</w:t>
      </w:r>
      <w:proofErr w:type="spellEnd"/>
      <w:proofErr w:type="gramEnd"/>
      <w:r>
        <w:rPr>
          <w:color w:val="000000"/>
        </w:rPr>
        <w:t xml:space="preserve"> рублей. Это на 11,8% превышает уровень 2012 года, а также на 9,9% плановые показатели на 11 месяцев 2013 года.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Тариф взносов на ОПС в 2013 году составляет 22% от предельной базы для начисления страховых взносов (568 тыс. рублей) + 10% с суммы превышения. На заседании Правления было отмечено, что в 2014 году тарифы страховых взносов останутся на прежнем уровне, в т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 xml:space="preserve"> сохранятся льготы для отдельных категорий страхователей.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На сегодня численность работодателей, производящих выплаты физическим лицам и представляющих отчетность в ПФР, составляет 5,8 млн. Численность 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 xml:space="preserve"> населения, состоящего на регистрационном учете в территориальных органах ПФР, – почти 3,9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человек. Доля страхователей, осуществляющих бесконтактное взаимодействие с ПФР и представивших расчеты в электронном виде, превысила 86% от общего числа расчетов, что существенно выше, чем в 2012 году (77,6%).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ПФР ведет активную работу по взысканию задолженности по страховым взносам. Так, за три года удалось снизить удельный вес недоимки по страховым взносам более чем в 3 раза: с 4% (на 1 июля 2010 года) до 1,3% (на 1 октября 2013 года). Среди ключевых мер, обеспечивающих улучшение платежной дисциплины, на Правлении ПФР были отмечены введение системы мониторинга «Ситуационный центр», внедрение электронных сервисов для страхователей, расширение электронного документооборота в системе межведомственного взаимодействия, проведение камеральных проверок и др.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Социальные программы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ПФР выделил свыше 800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рублей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социальных программ в субъектах Федерации. Так, на ремонт учреждений социального обслуживания, приобретение технологического оборудования, предметов длительного </w:t>
      </w:r>
      <w:r>
        <w:rPr>
          <w:color w:val="000000"/>
        </w:rPr>
        <w:lastRenderedPageBreak/>
        <w:t xml:space="preserve">пользования и автотранспорта для мобильных бригад выделено 632,4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рублей, на строительство объектов учреждений социального обслуживания – 185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рублей, на газификацию жилья – 68,6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Для финансового обеспечения выплаты адресной социальной помощи неработающим пенсионерам ПФР перечислил в субъекты Российской Федерации на Дальнем Востоке, пострадавшие от масштабного наводнения, 154,83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рублей.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Реализация услуг ПФР в электронном виде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В уходящем году ПФР отмечает резкий рост обращений к сервисам Фонда через единый портал государственных услуг и систему межведомственного электронного взаимодействия. Так, в 2013 году ПФР </w:t>
      </w:r>
      <w:proofErr w:type="gramStart"/>
      <w:r>
        <w:rPr>
          <w:b/>
          <w:bCs/>
          <w:color w:val="000000"/>
        </w:rPr>
        <w:t>получены</w:t>
      </w:r>
      <w:proofErr w:type="gramEnd"/>
      <w:r>
        <w:rPr>
          <w:b/>
          <w:bCs/>
          <w:color w:val="000000"/>
        </w:rPr>
        <w:t xml:space="preserve"> и обработаны: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– свыше 30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обращений к электронным сервисам базового государственного информационного ресурса (СНИЛС по ФИО; данные индивидуального лицевого счета по СНИЛС).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 720 тыс. запросов ФНС и Минюста о факте сдачи отчетности страхователями;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 13 тыс. запросов Фонда социального страхования о зарплате;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– свыше 1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запросов субъектов РФ и Федеральной службы судебных приставов;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 свыше 600 тыс. запросов граждан о данных индивидуального лицевого счета;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– свыше 19 тыс. заявлений о вступлении в Программу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пенсий через электронные сервисы.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Правление поставило перед ПФР задачи совершенствования пенсионного процесса в 2014 году. В частности, внедрение новых электронных сервисов (организацию приема заявлений граждан на установление пенсии в электронном виде); повышение качества предоставления услуг, в том числе сокращения времени ожидания в очереди при обращении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максимум</w:t>
      </w:r>
      <w:proofErr w:type="gramEnd"/>
      <w:r>
        <w:rPr>
          <w:color w:val="000000"/>
        </w:rPr>
        <w:t xml:space="preserve"> 15 минут.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Реализация мер по совершенствованию пенсионной системы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ПФР активно участвует в реализации Стратегии долгосрочного развития пенсионной системы России.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Так, в 2013 году началась трансформация института досрочных пенсий, цель которой – стимулирование улучшений условий труда на вредных и опасных производствах (должностях) и обеспечение источниками выплаты досрочных пенсий. Введены дополнительные тарифы страховых взносов для работодателей, имеющих рабочие места с особыми условиями труда: за работников, занятых на подземных работах, на работах с особо вредными и особо тяжелыми условиями труда, этот дополнительный тариф составляет 4%, за работников, занятых на видах работ с вредными и тяжелыми условиями труда, – 2 %.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 2014 года планируется ввести дифференцированный тариф (от 2 до 8%) или освобождение от него с учетом проведения оценки условий труда и выявления класса условий труда. Если работодатель не проводит оценку условий труда, то дополнительный тариф составит 6 и 4% соответственно.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2013 году ПФР обеспечивал реализацию права граждан на выбор формирования своих пенсионных накоплений в системе ОПС. С 1 января 2013 года по 31 декабря 2015 года у россиян </w:t>
      </w:r>
      <w:smartTag w:uri="urn:schemas-microsoft-com:office:smarttags" w:element="metricconverter">
        <w:smartTagPr>
          <w:attr w:name="ProductID" w:val="1967 г"/>
        </w:smartTagPr>
        <w:r>
          <w:rPr>
            <w:color w:val="000000"/>
          </w:rPr>
          <w:t>1967 г</w:t>
        </w:r>
      </w:smartTag>
      <w:r>
        <w:rPr>
          <w:color w:val="000000"/>
        </w:rPr>
        <w:t xml:space="preserve">.р. рождения и моложе есть выбор: формировать свои пенсионные права полностью в страховой солидарной системе или формировать накопительную часть (по тарифу 6%). Территориальные органы ПФР в течение года принимают заявления граждан о выборе варианта пенсионного обеспечения в системе ОПС.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Одной из мер, реализованных ПФР в 2013 году, является двукратное повышение темпов формирования пенсионных прав 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 xml:space="preserve"> населения. В 2013 году тариф рассчитывается исходя не из одного, а двух МРОТ. С 1 января 2013 года общая стоимость страхового года на обязательное пенсионное и медицинское страхование для </w:t>
      </w:r>
      <w:proofErr w:type="spellStart"/>
      <w:r>
        <w:rPr>
          <w:color w:val="000000"/>
        </w:rPr>
        <w:t>самозанятых</w:t>
      </w:r>
      <w:proofErr w:type="spellEnd"/>
      <w:r>
        <w:rPr>
          <w:color w:val="000000"/>
        </w:rPr>
        <w:t xml:space="preserve"> составляет 35 664,7 рубля.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Специалисты ПФР участвуют в работе под эгидой Министерства труда и социальной защиты РФ по разработке и подготовке к реализации нового порядка учета пенсионных прав и исчисления размера пенсий. В настоящее время законопроекты, утверждающие новый порядок, проходят рассмотрение в Федеральном собрании Российской Федерации. </w:t>
      </w:r>
    </w:p>
    <w:p w:rsidR="00D45DC9" w:rsidRDefault="00D45DC9" w:rsidP="00102A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качестве стратегических направлений деятельности Фонда в 2014 году Правлением ПФР признаны: проведение мероприятий по реализации новой пенсионной формулы, совершенствование накопительного компонента, трансформация института досрочных пенсий.</w:t>
      </w:r>
    </w:p>
    <w:p w:rsidR="00D45DC9" w:rsidRPr="009D4287" w:rsidRDefault="00D45DC9" w:rsidP="00102A41">
      <w:pPr>
        <w:ind w:firstLine="709"/>
      </w:pPr>
    </w:p>
    <w:sectPr w:rsidR="00D45DC9" w:rsidRPr="009D4287" w:rsidSect="009F79B0">
      <w:headerReference w:type="default" r:id="rId7"/>
      <w:footerReference w:type="even" r:id="rId8"/>
      <w:footerReference w:type="default" r:id="rId9"/>
      <w:pgSz w:w="11906" w:h="16838" w:code="9"/>
      <w:pgMar w:top="2516" w:right="1286" w:bottom="719" w:left="14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97" w:rsidRDefault="00FE7197">
      <w:r>
        <w:separator/>
      </w:r>
    </w:p>
  </w:endnote>
  <w:endnote w:type="continuationSeparator" w:id="0">
    <w:p w:rsidR="00FE7197" w:rsidRDefault="00FE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C9" w:rsidRDefault="004C23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5D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5DC9" w:rsidRDefault="00D45D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C9" w:rsidRDefault="004C2335">
    <w:pPr>
      <w:pStyle w:val="a5"/>
      <w:ind w:right="360"/>
    </w:pPr>
    <w:r>
      <w:rPr>
        <w:noProof/>
      </w:rPr>
      <w:pict>
        <v:line id="_x0000_s2050" style="position:absolute;z-index:2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97" w:rsidRDefault="00FE7197">
      <w:r>
        <w:separator/>
      </w:r>
    </w:p>
  </w:footnote>
  <w:footnote w:type="continuationSeparator" w:id="0">
    <w:p w:rsidR="00FE7197" w:rsidRDefault="00FE7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C9" w:rsidRDefault="004C233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25.45pt;width:424.8pt;height:1in;z-index:1" filled="f" stroked="f">
          <v:textbox style="mso-next-textbox:#_x0000_s2049">
            <w:txbxContent>
              <w:p w:rsidR="00D45DC9" w:rsidRPr="00931278" w:rsidRDefault="00D45DC9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67710"/>
    <w:multiLevelType w:val="hybridMultilevel"/>
    <w:tmpl w:val="0588A21E"/>
    <w:lvl w:ilvl="0" w:tplc="2E5A991A">
      <w:start w:val="2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179AA"/>
    <w:rsid w:val="00024270"/>
    <w:rsid w:val="000267E9"/>
    <w:rsid w:val="00030AD8"/>
    <w:rsid w:val="00034133"/>
    <w:rsid w:val="00035317"/>
    <w:rsid w:val="000356C3"/>
    <w:rsid w:val="00036C7D"/>
    <w:rsid w:val="0004132F"/>
    <w:rsid w:val="00041CDC"/>
    <w:rsid w:val="00042475"/>
    <w:rsid w:val="00045E15"/>
    <w:rsid w:val="00052F4A"/>
    <w:rsid w:val="000533BF"/>
    <w:rsid w:val="00053D6F"/>
    <w:rsid w:val="00055A89"/>
    <w:rsid w:val="00063F28"/>
    <w:rsid w:val="00072197"/>
    <w:rsid w:val="00073DD6"/>
    <w:rsid w:val="00077068"/>
    <w:rsid w:val="00087A08"/>
    <w:rsid w:val="000944C7"/>
    <w:rsid w:val="00096264"/>
    <w:rsid w:val="000A2866"/>
    <w:rsid w:val="000A3D03"/>
    <w:rsid w:val="000A525F"/>
    <w:rsid w:val="000A77BD"/>
    <w:rsid w:val="000B25F0"/>
    <w:rsid w:val="000B3A1D"/>
    <w:rsid w:val="000B42C7"/>
    <w:rsid w:val="000C2997"/>
    <w:rsid w:val="000C5F31"/>
    <w:rsid w:val="000C7571"/>
    <w:rsid w:val="000C7C73"/>
    <w:rsid w:val="000D10D9"/>
    <w:rsid w:val="000D20E5"/>
    <w:rsid w:val="000D5934"/>
    <w:rsid w:val="000E40FA"/>
    <w:rsid w:val="000E673C"/>
    <w:rsid w:val="000F0F24"/>
    <w:rsid w:val="000F1C4E"/>
    <w:rsid w:val="000F2575"/>
    <w:rsid w:val="000F2D3E"/>
    <w:rsid w:val="000F380B"/>
    <w:rsid w:val="000F6215"/>
    <w:rsid w:val="000F7E0A"/>
    <w:rsid w:val="001006E7"/>
    <w:rsid w:val="00102A41"/>
    <w:rsid w:val="00120BB3"/>
    <w:rsid w:val="00126744"/>
    <w:rsid w:val="0012734D"/>
    <w:rsid w:val="00133AF4"/>
    <w:rsid w:val="00140CD3"/>
    <w:rsid w:val="00147772"/>
    <w:rsid w:val="00150183"/>
    <w:rsid w:val="00150F3A"/>
    <w:rsid w:val="001728B4"/>
    <w:rsid w:val="00174C5F"/>
    <w:rsid w:val="00177EEE"/>
    <w:rsid w:val="00181C30"/>
    <w:rsid w:val="00186855"/>
    <w:rsid w:val="001918DE"/>
    <w:rsid w:val="00193816"/>
    <w:rsid w:val="001A0EB3"/>
    <w:rsid w:val="001A317B"/>
    <w:rsid w:val="001B1518"/>
    <w:rsid w:val="001B305E"/>
    <w:rsid w:val="001B34C6"/>
    <w:rsid w:val="001B3D01"/>
    <w:rsid w:val="001B7689"/>
    <w:rsid w:val="001C420B"/>
    <w:rsid w:val="001C5041"/>
    <w:rsid w:val="001C632B"/>
    <w:rsid w:val="001D1436"/>
    <w:rsid w:val="001D22AE"/>
    <w:rsid w:val="001D2841"/>
    <w:rsid w:val="001D5D3B"/>
    <w:rsid w:val="001D678E"/>
    <w:rsid w:val="001E1521"/>
    <w:rsid w:val="001E2895"/>
    <w:rsid w:val="001E4E6E"/>
    <w:rsid w:val="001F10DA"/>
    <w:rsid w:val="001F1B74"/>
    <w:rsid w:val="001F7150"/>
    <w:rsid w:val="001F7D7D"/>
    <w:rsid w:val="00201A35"/>
    <w:rsid w:val="00203BAA"/>
    <w:rsid w:val="0021087E"/>
    <w:rsid w:val="00210AC0"/>
    <w:rsid w:val="00212AAD"/>
    <w:rsid w:val="002131FD"/>
    <w:rsid w:val="00220E40"/>
    <w:rsid w:val="00223643"/>
    <w:rsid w:val="00224E39"/>
    <w:rsid w:val="00225974"/>
    <w:rsid w:val="00226967"/>
    <w:rsid w:val="00231010"/>
    <w:rsid w:val="00231A54"/>
    <w:rsid w:val="00232AE9"/>
    <w:rsid w:val="00234A87"/>
    <w:rsid w:val="0024454E"/>
    <w:rsid w:val="00254651"/>
    <w:rsid w:val="0025643B"/>
    <w:rsid w:val="00257490"/>
    <w:rsid w:val="00260D34"/>
    <w:rsid w:val="002615C1"/>
    <w:rsid w:val="0026507F"/>
    <w:rsid w:val="002740C4"/>
    <w:rsid w:val="00275B56"/>
    <w:rsid w:val="00283607"/>
    <w:rsid w:val="00284B8E"/>
    <w:rsid w:val="002939F7"/>
    <w:rsid w:val="002945C8"/>
    <w:rsid w:val="002A03BF"/>
    <w:rsid w:val="002A094C"/>
    <w:rsid w:val="002A7358"/>
    <w:rsid w:val="002B0550"/>
    <w:rsid w:val="002C25C7"/>
    <w:rsid w:val="002C7FFA"/>
    <w:rsid w:val="002E072C"/>
    <w:rsid w:val="002E1CC3"/>
    <w:rsid w:val="002E4187"/>
    <w:rsid w:val="002E4D4A"/>
    <w:rsid w:val="002E7D29"/>
    <w:rsid w:val="002F1BF9"/>
    <w:rsid w:val="002F2751"/>
    <w:rsid w:val="002F4EA2"/>
    <w:rsid w:val="002F510D"/>
    <w:rsid w:val="002F7DDE"/>
    <w:rsid w:val="00304B2C"/>
    <w:rsid w:val="00310870"/>
    <w:rsid w:val="00314523"/>
    <w:rsid w:val="00322BEF"/>
    <w:rsid w:val="00323D16"/>
    <w:rsid w:val="0033165B"/>
    <w:rsid w:val="00332E2C"/>
    <w:rsid w:val="00340C17"/>
    <w:rsid w:val="00343652"/>
    <w:rsid w:val="00344532"/>
    <w:rsid w:val="00346B57"/>
    <w:rsid w:val="00347A62"/>
    <w:rsid w:val="00350E95"/>
    <w:rsid w:val="003665C0"/>
    <w:rsid w:val="00371377"/>
    <w:rsid w:val="00371AF4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A3066"/>
    <w:rsid w:val="003A47FE"/>
    <w:rsid w:val="003B2954"/>
    <w:rsid w:val="003B4861"/>
    <w:rsid w:val="003B4D15"/>
    <w:rsid w:val="003B58FF"/>
    <w:rsid w:val="003B6DB2"/>
    <w:rsid w:val="003C07CA"/>
    <w:rsid w:val="003C1B23"/>
    <w:rsid w:val="003C47BC"/>
    <w:rsid w:val="003C4AC7"/>
    <w:rsid w:val="003C4BE4"/>
    <w:rsid w:val="003D5DC3"/>
    <w:rsid w:val="003D7977"/>
    <w:rsid w:val="003E1DCE"/>
    <w:rsid w:val="003E2BB0"/>
    <w:rsid w:val="003E39B6"/>
    <w:rsid w:val="003E4590"/>
    <w:rsid w:val="003E6869"/>
    <w:rsid w:val="00403AB9"/>
    <w:rsid w:val="0040755A"/>
    <w:rsid w:val="00407C7B"/>
    <w:rsid w:val="00410385"/>
    <w:rsid w:val="004107A4"/>
    <w:rsid w:val="00412CD1"/>
    <w:rsid w:val="004172A2"/>
    <w:rsid w:val="0041788B"/>
    <w:rsid w:val="00422292"/>
    <w:rsid w:val="0042737B"/>
    <w:rsid w:val="0043233F"/>
    <w:rsid w:val="00442D38"/>
    <w:rsid w:val="0044358C"/>
    <w:rsid w:val="00445941"/>
    <w:rsid w:val="0044688E"/>
    <w:rsid w:val="00446FBF"/>
    <w:rsid w:val="0045481C"/>
    <w:rsid w:val="00457377"/>
    <w:rsid w:val="0046019D"/>
    <w:rsid w:val="00461D92"/>
    <w:rsid w:val="00461F1F"/>
    <w:rsid w:val="004632A4"/>
    <w:rsid w:val="0046337B"/>
    <w:rsid w:val="00466807"/>
    <w:rsid w:val="00472ED5"/>
    <w:rsid w:val="00474B38"/>
    <w:rsid w:val="004817F9"/>
    <w:rsid w:val="004877BF"/>
    <w:rsid w:val="00493737"/>
    <w:rsid w:val="0049450E"/>
    <w:rsid w:val="004950A9"/>
    <w:rsid w:val="00497CED"/>
    <w:rsid w:val="004A4BA7"/>
    <w:rsid w:val="004A65AB"/>
    <w:rsid w:val="004C2335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6DF5"/>
    <w:rsid w:val="004F778D"/>
    <w:rsid w:val="004F79EF"/>
    <w:rsid w:val="00502B4D"/>
    <w:rsid w:val="00504BF1"/>
    <w:rsid w:val="00506909"/>
    <w:rsid w:val="00510A65"/>
    <w:rsid w:val="00516ECE"/>
    <w:rsid w:val="00524712"/>
    <w:rsid w:val="00532385"/>
    <w:rsid w:val="00532A39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5236"/>
    <w:rsid w:val="005603F8"/>
    <w:rsid w:val="00561AF5"/>
    <w:rsid w:val="0056569D"/>
    <w:rsid w:val="00571067"/>
    <w:rsid w:val="005710E8"/>
    <w:rsid w:val="0057206A"/>
    <w:rsid w:val="00573FBF"/>
    <w:rsid w:val="0057429F"/>
    <w:rsid w:val="005760BA"/>
    <w:rsid w:val="0057646B"/>
    <w:rsid w:val="005828C7"/>
    <w:rsid w:val="00592F56"/>
    <w:rsid w:val="005941E0"/>
    <w:rsid w:val="00596016"/>
    <w:rsid w:val="005979FF"/>
    <w:rsid w:val="005A38C2"/>
    <w:rsid w:val="005A6E60"/>
    <w:rsid w:val="005B354E"/>
    <w:rsid w:val="005C3309"/>
    <w:rsid w:val="005C79CE"/>
    <w:rsid w:val="005D1E1D"/>
    <w:rsid w:val="005D2350"/>
    <w:rsid w:val="005D5D0E"/>
    <w:rsid w:val="005D604B"/>
    <w:rsid w:val="005D7C68"/>
    <w:rsid w:val="005E0E99"/>
    <w:rsid w:val="005E26B8"/>
    <w:rsid w:val="005E2727"/>
    <w:rsid w:val="005E3E2A"/>
    <w:rsid w:val="005F68C1"/>
    <w:rsid w:val="006018CE"/>
    <w:rsid w:val="00602312"/>
    <w:rsid w:val="0060290C"/>
    <w:rsid w:val="0060503E"/>
    <w:rsid w:val="00611C07"/>
    <w:rsid w:val="00612829"/>
    <w:rsid w:val="006150EA"/>
    <w:rsid w:val="00615FDE"/>
    <w:rsid w:val="00616575"/>
    <w:rsid w:val="0061666A"/>
    <w:rsid w:val="00617DA6"/>
    <w:rsid w:val="00626553"/>
    <w:rsid w:val="00632E87"/>
    <w:rsid w:val="00642A64"/>
    <w:rsid w:val="00646E74"/>
    <w:rsid w:val="0065623B"/>
    <w:rsid w:val="0065662B"/>
    <w:rsid w:val="0066435D"/>
    <w:rsid w:val="00664D4C"/>
    <w:rsid w:val="00666802"/>
    <w:rsid w:val="006702AF"/>
    <w:rsid w:val="00676020"/>
    <w:rsid w:val="00680A42"/>
    <w:rsid w:val="006811EF"/>
    <w:rsid w:val="00684094"/>
    <w:rsid w:val="00686C02"/>
    <w:rsid w:val="006A1F15"/>
    <w:rsid w:val="006A3045"/>
    <w:rsid w:val="006B7665"/>
    <w:rsid w:val="006D1BCD"/>
    <w:rsid w:val="006D24D6"/>
    <w:rsid w:val="006D3C2A"/>
    <w:rsid w:val="006D7086"/>
    <w:rsid w:val="006D76B7"/>
    <w:rsid w:val="006E5E8B"/>
    <w:rsid w:val="006F0EFE"/>
    <w:rsid w:val="006F2A8E"/>
    <w:rsid w:val="006F2C42"/>
    <w:rsid w:val="00700456"/>
    <w:rsid w:val="0070143F"/>
    <w:rsid w:val="00704C89"/>
    <w:rsid w:val="0071197D"/>
    <w:rsid w:val="00713B7B"/>
    <w:rsid w:val="00715431"/>
    <w:rsid w:val="007155F6"/>
    <w:rsid w:val="0071669E"/>
    <w:rsid w:val="00720AD2"/>
    <w:rsid w:val="0072132A"/>
    <w:rsid w:val="00725B58"/>
    <w:rsid w:val="007270A1"/>
    <w:rsid w:val="00730B8A"/>
    <w:rsid w:val="00730C07"/>
    <w:rsid w:val="007327BD"/>
    <w:rsid w:val="00733C13"/>
    <w:rsid w:val="0073476B"/>
    <w:rsid w:val="00744F07"/>
    <w:rsid w:val="00745B7D"/>
    <w:rsid w:val="0074644B"/>
    <w:rsid w:val="007474DF"/>
    <w:rsid w:val="00752096"/>
    <w:rsid w:val="0075770C"/>
    <w:rsid w:val="00777A5F"/>
    <w:rsid w:val="00781A98"/>
    <w:rsid w:val="00783287"/>
    <w:rsid w:val="00783623"/>
    <w:rsid w:val="00792C52"/>
    <w:rsid w:val="007A20C5"/>
    <w:rsid w:val="007A44F5"/>
    <w:rsid w:val="007B32A9"/>
    <w:rsid w:val="007B3DDD"/>
    <w:rsid w:val="007B7183"/>
    <w:rsid w:val="007B7A85"/>
    <w:rsid w:val="007C337C"/>
    <w:rsid w:val="007C4961"/>
    <w:rsid w:val="007C766A"/>
    <w:rsid w:val="007D5BFF"/>
    <w:rsid w:val="007F0262"/>
    <w:rsid w:val="007F19E8"/>
    <w:rsid w:val="007F4AB3"/>
    <w:rsid w:val="00802EB6"/>
    <w:rsid w:val="00805925"/>
    <w:rsid w:val="00811793"/>
    <w:rsid w:val="00811C4C"/>
    <w:rsid w:val="00813F74"/>
    <w:rsid w:val="008174E4"/>
    <w:rsid w:val="00822869"/>
    <w:rsid w:val="008230DF"/>
    <w:rsid w:val="0082472E"/>
    <w:rsid w:val="00824B70"/>
    <w:rsid w:val="008265C2"/>
    <w:rsid w:val="00835911"/>
    <w:rsid w:val="0084373C"/>
    <w:rsid w:val="0084501C"/>
    <w:rsid w:val="00852E5E"/>
    <w:rsid w:val="00864602"/>
    <w:rsid w:val="008667AC"/>
    <w:rsid w:val="0086705F"/>
    <w:rsid w:val="00870D10"/>
    <w:rsid w:val="0087134E"/>
    <w:rsid w:val="008714D7"/>
    <w:rsid w:val="008754FA"/>
    <w:rsid w:val="00877D8F"/>
    <w:rsid w:val="008840C7"/>
    <w:rsid w:val="00884B98"/>
    <w:rsid w:val="0088746E"/>
    <w:rsid w:val="008A36F9"/>
    <w:rsid w:val="008A41CB"/>
    <w:rsid w:val="008A48C0"/>
    <w:rsid w:val="008A497E"/>
    <w:rsid w:val="008A590C"/>
    <w:rsid w:val="008A696E"/>
    <w:rsid w:val="008C4830"/>
    <w:rsid w:val="008C5DDE"/>
    <w:rsid w:val="008D338E"/>
    <w:rsid w:val="008E6F37"/>
    <w:rsid w:val="008F2659"/>
    <w:rsid w:val="00900B53"/>
    <w:rsid w:val="00904898"/>
    <w:rsid w:val="00904E8B"/>
    <w:rsid w:val="00906A11"/>
    <w:rsid w:val="00906DFF"/>
    <w:rsid w:val="0090727E"/>
    <w:rsid w:val="009128A3"/>
    <w:rsid w:val="00913619"/>
    <w:rsid w:val="0091610A"/>
    <w:rsid w:val="00916555"/>
    <w:rsid w:val="00917C3A"/>
    <w:rsid w:val="00931278"/>
    <w:rsid w:val="009314CF"/>
    <w:rsid w:val="009320FE"/>
    <w:rsid w:val="00935376"/>
    <w:rsid w:val="00937DF9"/>
    <w:rsid w:val="00940E5C"/>
    <w:rsid w:val="00941175"/>
    <w:rsid w:val="00941D70"/>
    <w:rsid w:val="009422D1"/>
    <w:rsid w:val="009505DA"/>
    <w:rsid w:val="00951A3F"/>
    <w:rsid w:val="009606D4"/>
    <w:rsid w:val="00960B7B"/>
    <w:rsid w:val="00960E5F"/>
    <w:rsid w:val="009654CD"/>
    <w:rsid w:val="00974A1A"/>
    <w:rsid w:val="0097652E"/>
    <w:rsid w:val="00976D91"/>
    <w:rsid w:val="009809BA"/>
    <w:rsid w:val="0098233C"/>
    <w:rsid w:val="00982DCA"/>
    <w:rsid w:val="00982DF6"/>
    <w:rsid w:val="00983998"/>
    <w:rsid w:val="00983D18"/>
    <w:rsid w:val="00985739"/>
    <w:rsid w:val="009933ED"/>
    <w:rsid w:val="00993932"/>
    <w:rsid w:val="009A15D4"/>
    <w:rsid w:val="009B03ED"/>
    <w:rsid w:val="009B5230"/>
    <w:rsid w:val="009B531F"/>
    <w:rsid w:val="009B5EF6"/>
    <w:rsid w:val="009C17AD"/>
    <w:rsid w:val="009C320B"/>
    <w:rsid w:val="009C3AFB"/>
    <w:rsid w:val="009C5146"/>
    <w:rsid w:val="009D240B"/>
    <w:rsid w:val="009D3949"/>
    <w:rsid w:val="009D4287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1103E"/>
    <w:rsid w:val="00A17CB6"/>
    <w:rsid w:val="00A25ECA"/>
    <w:rsid w:val="00A27B9A"/>
    <w:rsid w:val="00A349F9"/>
    <w:rsid w:val="00A4175A"/>
    <w:rsid w:val="00A43D0A"/>
    <w:rsid w:val="00A445B4"/>
    <w:rsid w:val="00A46B2A"/>
    <w:rsid w:val="00A603B8"/>
    <w:rsid w:val="00A61C5C"/>
    <w:rsid w:val="00A640CB"/>
    <w:rsid w:val="00A74355"/>
    <w:rsid w:val="00A83AC8"/>
    <w:rsid w:val="00A851C9"/>
    <w:rsid w:val="00A93410"/>
    <w:rsid w:val="00A96BB9"/>
    <w:rsid w:val="00A974B9"/>
    <w:rsid w:val="00AA197A"/>
    <w:rsid w:val="00AA2411"/>
    <w:rsid w:val="00AA24FF"/>
    <w:rsid w:val="00AA7246"/>
    <w:rsid w:val="00AC3D12"/>
    <w:rsid w:val="00AC505E"/>
    <w:rsid w:val="00AD125E"/>
    <w:rsid w:val="00AD42ED"/>
    <w:rsid w:val="00AD451D"/>
    <w:rsid w:val="00AD50BB"/>
    <w:rsid w:val="00AD6672"/>
    <w:rsid w:val="00AE2EDE"/>
    <w:rsid w:val="00AE79FE"/>
    <w:rsid w:val="00AF4F49"/>
    <w:rsid w:val="00AF7D9A"/>
    <w:rsid w:val="00B00B95"/>
    <w:rsid w:val="00B047D2"/>
    <w:rsid w:val="00B06E6F"/>
    <w:rsid w:val="00B17914"/>
    <w:rsid w:val="00B234E1"/>
    <w:rsid w:val="00B2429A"/>
    <w:rsid w:val="00B264AE"/>
    <w:rsid w:val="00B27A82"/>
    <w:rsid w:val="00B312CF"/>
    <w:rsid w:val="00B3659F"/>
    <w:rsid w:val="00B41896"/>
    <w:rsid w:val="00B42E47"/>
    <w:rsid w:val="00B44570"/>
    <w:rsid w:val="00B4576F"/>
    <w:rsid w:val="00B45773"/>
    <w:rsid w:val="00B462A6"/>
    <w:rsid w:val="00B50679"/>
    <w:rsid w:val="00B54722"/>
    <w:rsid w:val="00B55335"/>
    <w:rsid w:val="00B5646E"/>
    <w:rsid w:val="00B56FBA"/>
    <w:rsid w:val="00B60C6C"/>
    <w:rsid w:val="00B645EF"/>
    <w:rsid w:val="00B64E4E"/>
    <w:rsid w:val="00B67DFD"/>
    <w:rsid w:val="00B704B4"/>
    <w:rsid w:val="00B70587"/>
    <w:rsid w:val="00B750B9"/>
    <w:rsid w:val="00B775E2"/>
    <w:rsid w:val="00B8184E"/>
    <w:rsid w:val="00B9121C"/>
    <w:rsid w:val="00B94613"/>
    <w:rsid w:val="00B94642"/>
    <w:rsid w:val="00BA0C38"/>
    <w:rsid w:val="00BA1668"/>
    <w:rsid w:val="00BA69BA"/>
    <w:rsid w:val="00BB17D4"/>
    <w:rsid w:val="00BB1E52"/>
    <w:rsid w:val="00BB2AF7"/>
    <w:rsid w:val="00BB3914"/>
    <w:rsid w:val="00BB748D"/>
    <w:rsid w:val="00BC1BE1"/>
    <w:rsid w:val="00BC35F8"/>
    <w:rsid w:val="00BC3ADE"/>
    <w:rsid w:val="00BD73A4"/>
    <w:rsid w:val="00BE13EA"/>
    <w:rsid w:val="00BE3CD6"/>
    <w:rsid w:val="00BF1DFD"/>
    <w:rsid w:val="00BF64E9"/>
    <w:rsid w:val="00C02777"/>
    <w:rsid w:val="00C06609"/>
    <w:rsid w:val="00C06712"/>
    <w:rsid w:val="00C10BCB"/>
    <w:rsid w:val="00C10F77"/>
    <w:rsid w:val="00C15D32"/>
    <w:rsid w:val="00C16566"/>
    <w:rsid w:val="00C1767A"/>
    <w:rsid w:val="00C26ECF"/>
    <w:rsid w:val="00C272B6"/>
    <w:rsid w:val="00C3370F"/>
    <w:rsid w:val="00C342BA"/>
    <w:rsid w:val="00C37551"/>
    <w:rsid w:val="00C40A04"/>
    <w:rsid w:val="00C41F9F"/>
    <w:rsid w:val="00C4486F"/>
    <w:rsid w:val="00C47F98"/>
    <w:rsid w:val="00C56675"/>
    <w:rsid w:val="00C60234"/>
    <w:rsid w:val="00C6554D"/>
    <w:rsid w:val="00C67CAD"/>
    <w:rsid w:val="00C704B0"/>
    <w:rsid w:val="00C734DE"/>
    <w:rsid w:val="00C73603"/>
    <w:rsid w:val="00C772FC"/>
    <w:rsid w:val="00C80FD3"/>
    <w:rsid w:val="00C829CE"/>
    <w:rsid w:val="00C85A49"/>
    <w:rsid w:val="00C87817"/>
    <w:rsid w:val="00C92CB0"/>
    <w:rsid w:val="00C94DED"/>
    <w:rsid w:val="00C9657A"/>
    <w:rsid w:val="00CA1162"/>
    <w:rsid w:val="00CA181A"/>
    <w:rsid w:val="00CA3508"/>
    <w:rsid w:val="00CA47F5"/>
    <w:rsid w:val="00CA588A"/>
    <w:rsid w:val="00CB32E9"/>
    <w:rsid w:val="00CB35D4"/>
    <w:rsid w:val="00CB41DA"/>
    <w:rsid w:val="00CB65B7"/>
    <w:rsid w:val="00CC65D4"/>
    <w:rsid w:val="00CC7E61"/>
    <w:rsid w:val="00CD0041"/>
    <w:rsid w:val="00CD3B08"/>
    <w:rsid w:val="00CD534C"/>
    <w:rsid w:val="00CD55C4"/>
    <w:rsid w:val="00CD60DD"/>
    <w:rsid w:val="00CD6693"/>
    <w:rsid w:val="00CF2098"/>
    <w:rsid w:val="00CF3DC2"/>
    <w:rsid w:val="00CF7B6E"/>
    <w:rsid w:val="00CF7DAB"/>
    <w:rsid w:val="00D00692"/>
    <w:rsid w:val="00D10364"/>
    <w:rsid w:val="00D1743E"/>
    <w:rsid w:val="00D360E7"/>
    <w:rsid w:val="00D36B03"/>
    <w:rsid w:val="00D4299B"/>
    <w:rsid w:val="00D431A8"/>
    <w:rsid w:val="00D432AE"/>
    <w:rsid w:val="00D45DC9"/>
    <w:rsid w:val="00D47C5E"/>
    <w:rsid w:val="00D56AC7"/>
    <w:rsid w:val="00D641BC"/>
    <w:rsid w:val="00D70982"/>
    <w:rsid w:val="00D81DE8"/>
    <w:rsid w:val="00D912C4"/>
    <w:rsid w:val="00D91AA3"/>
    <w:rsid w:val="00D92B95"/>
    <w:rsid w:val="00D94B5B"/>
    <w:rsid w:val="00DA3F0B"/>
    <w:rsid w:val="00DA636C"/>
    <w:rsid w:val="00DA6694"/>
    <w:rsid w:val="00DA7699"/>
    <w:rsid w:val="00DB7008"/>
    <w:rsid w:val="00DB7C5A"/>
    <w:rsid w:val="00DC2E2B"/>
    <w:rsid w:val="00DC3AC8"/>
    <w:rsid w:val="00DC736A"/>
    <w:rsid w:val="00DD0021"/>
    <w:rsid w:val="00DD058F"/>
    <w:rsid w:val="00DD162B"/>
    <w:rsid w:val="00DD19D1"/>
    <w:rsid w:val="00DD5A72"/>
    <w:rsid w:val="00DD7813"/>
    <w:rsid w:val="00DE6D4C"/>
    <w:rsid w:val="00DF0D3E"/>
    <w:rsid w:val="00DF671E"/>
    <w:rsid w:val="00DF7526"/>
    <w:rsid w:val="00E00DEC"/>
    <w:rsid w:val="00E064B1"/>
    <w:rsid w:val="00E12EEF"/>
    <w:rsid w:val="00E152EE"/>
    <w:rsid w:val="00E15908"/>
    <w:rsid w:val="00E1767B"/>
    <w:rsid w:val="00E252F0"/>
    <w:rsid w:val="00E262F8"/>
    <w:rsid w:val="00E31486"/>
    <w:rsid w:val="00E36651"/>
    <w:rsid w:val="00E4053E"/>
    <w:rsid w:val="00E405A1"/>
    <w:rsid w:val="00E423B5"/>
    <w:rsid w:val="00E42539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90108"/>
    <w:rsid w:val="00E92668"/>
    <w:rsid w:val="00E92AE9"/>
    <w:rsid w:val="00EA017E"/>
    <w:rsid w:val="00EA3E84"/>
    <w:rsid w:val="00EA4B06"/>
    <w:rsid w:val="00EA50F9"/>
    <w:rsid w:val="00EA7DEE"/>
    <w:rsid w:val="00EB10EC"/>
    <w:rsid w:val="00EB184F"/>
    <w:rsid w:val="00EB338F"/>
    <w:rsid w:val="00EB5308"/>
    <w:rsid w:val="00ED53F3"/>
    <w:rsid w:val="00ED6594"/>
    <w:rsid w:val="00EE7CA7"/>
    <w:rsid w:val="00EF4A50"/>
    <w:rsid w:val="00EF66AE"/>
    <w:rsid w:val="00EF7774"/>
    <w:rsid w:val="00F00236"/>
    <w:rsid w:val="00F03C6E"/>
    <w:rsid w:val="00F06575"/>
    <w:rsid w:val="00F07582"/>
    <w:rsid w:val="00F13B2A"/>
    <w:rsid w:val="00F14757"/>
    <w:rsid w:val="00F14947"/>
    <w:rsid w:val="00F15F46"/>
    <w:rsid w:val="00F22769"/>
    <w:rsid w:val="00F24F45"/>
    <w:rsid w:val="00F25383"/>
    <w:rsid w:val="00F30EEE"/>
    <w:rsid w:val="00F31478"/>
    <w:rsid w:val="00F33A31"/>
    <w:rsid w:val="00F3504D"/>
    <w:rsid w:val="00F35799"/>
    <w:rsid w:val="00F36D4F"/>
    <w:rsid w:val="00F3768B"/>
    <w:rsid w:val="00F37A9C"/>
    <w:rsid w:val="00F42445"/>
    <w:rsid w:val="00F448F8"/>
    <w:rsid w:val="00F47EB0"/>
    <w:rsid w:val="00F504BC"/>
    <w:rsid w:val="00F50E00"/>
    <w:rsid w:val="00F64EB0"/>
    <w:rsid w:val="00F70CE8"/>
    <w:rsid w:val="00F763B7"/>
    <w:rsid w:val="00F76673"/>
    <w:rsid w:val="00F81FE9"/>
    <w:rsid w:val="00F826E7"/>
    <w:rsid w:val="00F83808"/>
    <w:rsid w:val="00F8405C"/>
    <w:rsid w:val="00F84A19"/>
    <w:rsid w:val="00F84AEA"/>
    <w:rsid w:val="00F9095C"/>
    <w:rsid w:val="00F96007"/>
    <w:rsid w:val="00F964A9"/>
    <w:rsid w:val="00F97270"/>
    <w:rsid w:val="00FA10AD"/>
    <w:rsid w:val="00FA5676"/>
    <w:rsid w:val="00FA5F82"/>
    <w:rsid w:val="00FB4098"/>
    <w:rsid w:val="00FC5BB4"/>
    <w:rsid w:val="00FD3CBF"/>
    <w:rsid w:val="00FD6918"/>
    <w:rsid w:val="00FE7197"/>
    <w:rsid w:val="00FF0B56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CB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17CB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23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233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17C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233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17C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2335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17CB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17C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C2335"/>
    <w:rPr>
      <w:rFonts w:cs="Times New Roman"/>
      <w:sz w:val="2"/>
    </w:rPr>
  </w:style>
  <w:style w:type="character" w:styleId="aa">
    <w:name w:val="Strong"/>
    <w:basedOn w:val="a0"/>
    <w:uiPriority w:val="99"/>
    <w:qFormat/>
    <w:rsid w:val="00A17CB6"/>
    <w:rPr>
      <w:rFonts w:cs="Times New Roman"/>
      <w:b/>
      <w:bCs/>
    </w:rPr>
  </w:style>
  <w:style w:type="paragraph" w:styleId="ab">
    <w:name w:val="Normal (Web)"/>
    <w:basedOn w:val="a"/>
    <w:uiPriority w:val="99"/>
    <w:rsid w:val="00A17CB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A17CB6"/>
    <w:rPr>
      <w:rFonts w:cs="Times New Roman"/>
      <w:color w:val="0000FF"/>
      <w:u w:val="single"/>
    </w:rPr>
  </w:style>
  <w:style w:type="character" w:styleId="ad">
    <w:name w:val="Emphasis"/>
    <w:basedOn w:val="a0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a0"/>
    <w:uiPriority w:val="99"/>
    <w:rsid w:val="00611C07"/>
    <w:rPr>
      <w:rFonts w:cs="Times New Roman"/>
    </w:rPr>
  </w:style>
  <w:style w:type="paragraph" w:styleId="21">
    <w:name w:val="Body Text Indent 2"/>
    <w:basedOn w:val="a"/>
    <w:link w:val="22"/>
    <w:uiPriority w:val="99"/>
    <w:rsid w:val="00783623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C2335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03F8"/>
    <w:rPr>
      <w:rFonts w:cs="Times New Roman"/>
    </w:rPr>
  </w:style>
  <w:style w:type="character" w:styleId="ae">
    <w:name w:val="FollowedHyperlink"/>
    <w:basedOn w:val="a0"/>
    <w:uiPriority w:val="99"/>
    <w:rsid w:val="00C9657A"/>
    <w:rPr>
      <w:rFonts w:cs="Times New Roman"/>
      <w:color w:val="800080"/>
      <w:u w:val="single"/>
    </w:rPr>
  </w:style>
  <w:style w:type="paragraph" w:styleId="af">
    <w:name w:val="Normal Indent"/>
    <w:basedOn w:val="a"/>
    <w:uiPriority w:val="99"/>
    <w:semiHidden/>
    <w:rsid w:val="005828C7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CD3B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4C233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1958</Words>
  <Characters>11161</Characters>
  <Application>Microsoft Office Word</Application>
  <DocSecurity>0</DocSecurity>
  <Lines>93</Lines>
  <Paragraphs>26</Paragraphs>
  <ScaleCrop>false</ScaleCrop>
  <Company>PFR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Владелец</cp:lastModifiedBy>
  <cp:revision>4</cp:revision>
  <cp:lastPrinted>2012-05-14T11:17:00Z</cp:lastPrinted>
  <dcterms:created xsi:type="dcterms:W3CDTF">2013-12-20T07:50:00Z</dcterms:created>
  <dcterms:modified xsi:type="dcterms:W3CDTF">2013-12-30T04:41:00Z</dcterms:modified>
</cp:coreProperties>
</file>